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28"/>
          <w:szCs w:val="28"/>
          <w:lang w:eastAsia="zh-CN"/>
        </w:rPr>
      </w:pPr>
      <w:r>
        <w:rPr>
          <w:rFonts w:hint="eastAsia" w:ascii="宋体" w:hAnsi="宋体"/>
          <w:b/>
          <w:bCs/>
          <w:sz w:val="28"/>
          <w:szCs w:val="28"/>
          <w:lang w:eastAsia="zh-CN"/>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lang w:eastAsia="zh-CN"/>
        </w:rPr>
      </w:pPr>
      <w:bookmarkStart w:id="5" w:name="_GoBack"/>
      <w:bookmarkStart w:id="0" w:name="_Toc437006594"/>
      <w:bookmarkStart w:id="1" w:name="_Toc22549840"/>
      <w:bookmarkStart w:id="2" w:name="_Toc2954119"/>
      <w:bookmarkStart w:id="3" w:name="_Toc437006595"/>
      <w:r>
        <w:rPr>
          <w:rFonts w:hint="eastAsia" w:ascii="宋体" w:hAnsi="宋体"/>
          <w:b/>
          <w:bCs/>
          <w:sz w:val="24"/>
          <w:szCs w:val="24"/>
          <w:lang w:eastAsia="zh-CN"/>
        </w:rPr>
        <w:t>一、建设内容列表</w:t>
      </w:r>
      <w:bookmarkEnd w:id="0"/>
      <w:bookmarkEnd w:id="1"/>
      <w:bookmarkEnd w:id="2"/>
    </w:p>
    <w:bookmarkEnd w:id="5"/>
    <w:tbl>
      <w:tblPr>
        <w:tblStyle w:val="6"/>
        <w:tblW w:w="7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1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shd w:val="clear" w:color="auto" w:fill="auto"/>
            <w:vAlign w:val="center"/>
          </w:tcPr>
          <w:p>
            <w:pPr>
              <w:spacing w:line="360" w:lineRule="auto"/>
              <w:jc w:val="center"/>
              <w:rPr>
                <w:rFonts w:ascii="宋体" w:hAnsi="宋体" w:cs="宋体"/>
                <w:b/>
                <w:bCs/>
                <w:kern w:val="0"/>
                <w:sz w:val="24"/>
                <w:szCs w:val="24"/>
              </w:rPr>
            </w:pPr>
            <w:r>
              <w:rPr>
                <w:rFonts w:ascii="宋体" w:hAnsi="宋体" w:cs="宋体"/>
                <w:b/>
                <w:bCs/>
                <w:kern w:val="0"/>
                <w:sz w:val="24"/>
                <w:szCs w:val="24"/>
              </w:rPr>
              <w:t>序号</w:t>
            </w:r>
          </w:p>
        </w:tc>
        <w:tc>
          <w:tcPr>
            <w:tcW w:w="3413" w:type="dxa"/>
            <w:shd w:val="clear" w:color="auto" w:fill="auto"/>
            <w:vAlign w:val="center"/>
          </w:tcPr>
          <w:p>
            <w:pPr>
              <w:spacing w:line="360" w:lineRule="auto"/>
              <w:jc w:val="center"/>
              <w:rPr>
                <w:rFonts w:ascii="宋体" w:hAnsi="宋体" w:cs="宋体"/>
                <w:b/>
                <w:bCs/>
                <w:kern w:val="0"/>
                <w:sz w:val="24"/>
                <w:szCs w:val="24"/>
              </w:rPr>
            </w:pPr>
            <w:r>
              <w:rPr>
                <w:rFonts w:hint="eastAsia" w:ascii="宋体" w:hAnsi="宋体" w:cs="宋体"/>
                <w:b/>
                <w:bCs/>
                <w:kern w:val="0"/>
                <w:sz w:val="24"/>
                <w:szCs w:val="24"/>
              </w:rPr>
              <w:t>设备</w:t>
            </w:r>
            <w:r>
              <w:rPr>
                <w:rFonts w:ascii="宋体" w:hAnsi="宋体" w:cs="宋体"/>
                <w:b/>
                <w:bCs/>
                <w:kern w:val="0"/>
                <w:sz w:val="24"/>
                <w:szCs w:val="24"/>
              </w:rPr>
              <w:t>名称</w:t>
            </w:r>
          </w:p>
        </w:tc>
        <w:tc>
          <w:tcPr>
            <w:tcW w:w="2263" w:type="dxa"/>
            <w:shd w:val="clear" w:color="auto" w:fill="auto"/>
            <w:vAlign w:val="center"/>
          </w:tcPr>
          <w:p>
            <w:pPr>
              <w:spacing w:line="360" w:lineRule="auto"/>
              <w:jc w:val="center"/>
              <w:rPr>
                <w:rFonts w:ascii="宋体" w:hAnsi="宋体" w:cs="宋体"/>
                <w:b/>
                <w:bCs/>
                <w:kern w:val="0"/>
                <w:sz w:val="24"/>
                <w:szCs w:val="24"/>
              </w:rPr>
            </w:pPr>
            <w:r>
              <w:rPr>
                <w:rFonts w:ascii="宋体" w:hAnsi="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shd w:val="clear" w:color="auto" w:fill="auto"/>
            <w:vAlign w:val="center"/>
          </w:tcPr>
          <w:p>
            <w:pPr>
              <w:spacing w:line="360" w:lineRule="auto"/>
              <w:jc w:val="center"/>
              <w:rPr>
                <w:rFonts w:ascii="宋体" w:hAnsi="宋体" w:cs="宋体"/>
                <w:kern w:val="0"/>
                <w:sz w:val="24"/>
                <w:szCs w:val="24"/>
              </w:rPr>
            </w:pPr>
            <w:r>
              <w:rPr>
                <w:rFonts w:ascii="宋体" w:hAnsi="宋体" w:cs="宋体"/>
                <w:kern w:val="0"/>
                <w:sz w:val="24"/>
                <w:szCs w:val="24"/>
              </w:rPr>
              <w:t>1</w:t>
            </w:r>
          </w:p>
        </w:tc>
        <w:tc>
          <w:tcPr>
            <w:tcW w:w="3413" w:type="dxa"/>
            <w:shd w:val="clear" w:color="auto" w:fill="auto"/>
            <w:vAlign w:val="center"/>
          </w:tcPr>
          <w:p>
            <w:pPr>
              <w:spacing w:line="360" w:lineRule="auto"/>
              <w:rPr>
                <w:rFonts w:ascii="宋体" w:hAnsi="宋体" w:cs="宋体"/>
                <w:kern w:val="0"/>
                <w:sz w:val="24"/>
                <w:szCs w:val="24"/>
              </w:rPr>
            </w:pPr>
            <w:r>
              <w:rPr>
                <w:rFonts w:ascii="宋体" w:hAnsi="宋体" w:cs="宋体"/>
                <w:kern w:val="0"/>
                <w:sz w:val="24"/>
                <w:szCs w:val="24"/>
              </w:rPr>
              <w:t>人脸识别闸机</w:t>
            </w:r>
          </w:p>
        </w:tc>
        <w:tc>
          <w:tcPr>
            <w:tcW w:w="2263" w:type="dxa"/>
            <w:shd w:val="clear" w:color="auto" w:fill="auto"/>
            <w:vAlign w:val="center"/>
          </w:tcPr>
          <w:p>
            <w:pPr>
              <w:spacing w:line="360" w:lineRule="auto"/>
              <w:jc w:val="center"/>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shd w:val="clear" w:color="auto" w:fill="auto"/>
            <w:vAlign w:val="center"/>
          </w:tcPr>
          <w:p>
            <w:pPr>
              <w:spacing w:line="360" w:lineRule="auto"/>
              <w:jc w:val="center"/>
              <w:rPr>
                <w:rFonts w:ascii="宋体" w:hAnsi="宋体" w:cs="宋体"/>
                <w:kern w:val="0"/>
                <w:sz w:val="24"/>
                <w:szCs w:val="24"/>
              </w:rPr>
            </w:pPr>
            <w:r>
              <w:rPr>
                <w:rFonts w:ascii="宋体" w:hAnsi="宋体" w:cs="宋体"/>
                <w:kern w:val="0"/>
                <w:sz w:val="24"/>
                <w:szCs w:val="24"/>
              </w:rPr>
              <w:t>2</w:t>
            </w:r>
          </w:p>
        </w:tc>
        <w:tc>
          <w:tcPr>
            <w:tcW w:w="3413" w:type="dxa"/>
            <w:shd w:val="clear" w:color="auto" w:fill="auto"/>
            <w:vAlign w:val="center"/>
          </w:tcPr>
          <w:p>
            <w:pPr>
              <w:spacing w:line="360" w:lineRule="auto"/>
              <w:rPr>
                <w:rFonts w:ascii="宋体" w:hAnsi="宋体" w:cs="宋体"/>
                <w:kern w:val="0"/>
                <w:sz w:val="24"/>
                <w:szCs w:val="24"/>
              </w:rPr>
            </w:pPr>
            <w:r>
              <w:rPr>
                <w:rFonts w:hint="eastAsia" w:ascii="宋体" w:hAnsi="宋体" w:cs="宋体"/>
                <w:kern w:val="0"/>
                <w:sz w:val="24"/>
                <w:szCs w:val="24"/>
              </w:rPr>
              <w:t>宿舍区人脸识别考勤机</w:t>
            </w:r>
          </w:p>
        </w:tc>
        <w:tc>
          <w:tcPr>
            <w:tcW w:w="2263" w:type="dxa"/>
            <w:shd w:val="clear" w:color="auto" w:fill="auto"/>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shd w:val="clear" w:color="auto" w:fill="auto"/>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3413" w:type="dxa"/>
            <w:shd w:val="clear" w:color="auto" w:fill="auto"/>
            <w:vAlign w:val="center"/>
          </w:tcPr>
          <w:p>
            <w:pPr>
              <w:spacing w:line="360" w:lineRule="auto"/>
              <w:rPr>
                <w:rFonts w:ascii="宋体" w:hAnsi="宋体" w:cs="宋体"/>
                <w:kern w:val="0"/>
                <w:sz w:val="24"/>
                <w:szCs w:val="24"/>
              </w:rPr>
            </w:pPr>
            <w:r>
              <w:rPr>
                <w:rFonts w:hint="eastAsia" w:ascii="宋体" w:hAnsi="宋体" w:cs="宋体"/>
                <w:kern w:val="0"/>
                <w:sz w:val="24"/>
                <w:szCs w:val="24"/>
              </w:rPr>
              <w:t>人脸考勤设备</w:t>
            </w:r>
          </w:p>
        </w:tc>
        <w:tc>
          <w:tcPr>
            <w:tcW w:w="2263" w:type="dxa"/>
            <w:shd w:val="clear" w:color="auto" w:fill="auto"/>
            <w:vAlign w:val="center"/>
          </w:tcPr>
          <w:p>
            <w:pPr>
              <w:spacing w:line="360" w:lineRule="auto"/>
              <w:jc w:val="center"/>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shd w:val="clear" w:color="auto" w:fill="auto"/>
            <w:vAlign w:val="center"/>
          </w:tcPr>
          <w:p>
            <w:pPr>
              <w:spacing w:line="360" w:lineRule="auto"/>
              <w:jc w:val="center"/>
              <w:rPr>
                <w:rFonts w:ascii="宋体" w:hAnsi="宋体" w:cs="宋体"/>
                <w:kern w:val="0"/>
                <w:sz w:val="24"/>
                <w:szCs w:val="24"/>
              </w:rPr>
            </w:pPr>
            <w:r>
              <w:rPr>
                <w:rFonts w:ascii="宋体" w:hAnsi="宋体" w:cs="宋体"/>
                <w:kern w:val="0"/>
                <w:sz w:val="24"/>
                <w:szCs w:val="24"/>
              </w:rPr>
              <w:t>4</w:t>
            </w:r>
          </w:p>
        </w:tc>
        <w:tc>
          <w:tcPr>
            <w:tcW w:w="3413" w:type="dxa"/>
            <w:shd w:val="clear" w:color="auto" w:fill="auto"/>
            <w:vAlign w:val="center"/>
          </w:tcPr>
          <w:p>
            <w:pPr>
              <w:spacing w:line="360" w:lineRule="auto"/>
              <w:rPr>
                <w:rFonts w:ascii="宋体" w:hAnsi="宋体" w:cs="宋体"/>
                <w:kern w:val="0"/>
                <w:sz w:val="24"/>
                <w:szCs w:val="24"/>
              </w:rPr>
            </w:pPr>
            <w:r>
              <w:rPr>
                <w:rFonts w:hint="eastAsia" w:ascii="宋体" w:hAnsi="宋体" w:cs="宋体"/>
                <w:kern w:val="0"/>
                <w:sz w:val="24"/>
                <w:szCs w:val="24"/>
              </w:rPr>
              <w:t>人脸识别管理系统</w:t>
            </w:r>
          </w:p>
        </w:tc>
        <w:tc>
          <w:tcPr>
            <w:tcW w:w="2263" w:type="dxa"/>
            <w:shd w:val="clear" w:color="auto" w:fill="auto"/>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1套</w:t>
            </w:r>
          </w:p>
        </w:tc>
      </w:tr>
    </w:tbl>
    <w:p>
      <w:pPr>
        <w:spacing w:line="360" w:lineRule="auto"/>
        <w:rPr>
          <w:rFonts w:ascii="宋体" w:hAnsi="宋体"/>
          <w:b/>
          <w:bCs/>
          <w:sz w:val="24"/>
          <w:szCs w:val="24"/>
        </w:rPr>
      </w:pPr>
      <w:bookmarkStart w:id="4" w:name="_Toc22549841"/>
    </w:p>
    <w:p>
      <w:pPr>
        <w:widowControl/>
        <w:jc w:val="left"/>
        <w:rPr>
          <w:rFonts w:ascii="宋体" w:hAnsi="宋体"/>
          <w:b/>
          <w:bCs/>
          <w:sz w:val="24"/>
          <w:szCs w:val="24"/>
        </w:rPr>
      </w:pPr>
      <w:r>
        <w:rPr>
          <w:rFonts w:ascii="宋体" w:hAnsi="宋体"/>
          <w:b/>
          <w:bCs/>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lang w:eastAsia="zh-CN"/>
        </w:rPr>
      </w:pPr>
      <w:r>
        <w:rPr>
          <w:rFonts w:hint="eastAsia" w:ascii="宋体" w:hAnsi="宋体"/>
          <w:b/>
          <w:bCs/>
          <w:sz w:val="24"/>
          <w:szCs w:val="24"/>
          <w:lang w:eastAsia="zh-CN"/>
        </w:rPr>
        <w:t>二、建设内容详述</w:t>
      </w:r>
      <w:bookmarkEnd w:id="3"/>
      <w:bookmarkEnd w:id="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6104"/>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序号</w:t>
            </w:r>
          </w:p>
        </w:tc>
        <w:tc>
          <w:tcPr>
            <w:tcW w:w="709"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设备名称</w:t>
            </w:r>
          </w:p>
        </w:tc>
        <w:tc>
          <w:tcPr>
            <w:tcW w:w="6104"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技术参数</w:t>
            </w:r>
          </w:p>
        </w:tc>
        <w:tc>
          <w:tcPr>
            <w:tcW w:w="779" w:type="dxa"/>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709" w:type="dxa"/>
            <w:vAlign w:val="center"/>
          </w:tcPr>
          <w:p>
            <w:pPr>
              <w:spacing w:line="360" w:lineRule="auto"/>
              <w:rPr>
                <w:rFonts w:ascii="宋体" w:hAnsi="宋体"/>
                <w:b/>
                <w:bCs/>
                <w:color w:val="auto"/>
                <w:sz w:val="24"/>
                <w:szCs w:val="24"/>
              </w:rPr>
            </w:pPr>
            <w:r>
              <w:rPr>
                <w:rFonts w:ascii="宋体" w:hAnsi="宋体" w:cs="宋体"/>
                <w:color w:val="auto"/>
                <w:kern w:val="0"/>
                <w:sz w:val="24"/>
                <w:szCs w:val="24"/>
              </w:rPr>
              <w:t>人脸识别闸机</w:t>
            </w:r>
          </w:p>
        </w:tc>
        <w:tc>
          <w:tcPr>
            <w:tcW w:w="6104" w:type="dxa"/>
            <w:vAlign w:val="center"/>
          </w:tcPr>
          <w:p>
            <w:pPr>
              <w:spacing w:line="360" w:lineRule="auto"/>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w:t>
            </w:r>
            <w:r>
              <w:rPr>
                <w:rFonts w:hint="eastAsia" w:ascii="宋体" w:hAnsi="宋体"/>
                <w:color w:val="auto"/>
                <w:sz w:val="24"/>
                <w:szCs w:val="24"/>
              </w:rPr>
              <w:t>支持双向人脸识别，闸机自动开启；</w:t>
            </w:r>
          </w:p>
          <w:p>
            <w:pPr>
              <w:spacing w:line="360" w:lineRule="auto"/>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支持闸机断电后，闸门自动打开，方便行人疏散；</w:t>
            </w:r>
          </w:p>
          <w:p>
            <w:pPr>
              <w:spacing w:line="360" w:lineRule="auto"/>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支持上锁状态下，无法用外力推动，运动过程中遇阻会自动脱滑；</w:t>
            </w:r>
          </w:p>
          <w:p>
            <w:pPr>
              <w:widowControl/>
              <w:spacing w:line="360" w:lineRule="auto"/>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通行速度：不少于3</w:t>
            </w:r>
            <w:r>
              <w:rPr>
                <w:rFonts w:ascii="宋体" w:hAnsi="宋体"/>
                <w:color w:val="auto"/>
                <w:sz w:val="24"/>
                <w:szCs w:val="24"/>
              </w:rPr>
              <w:t>5</w:t>
            </w:r>
            <w:r>
              <w:rPr>
                <w:rFonts w:hint="eastAsia" w:ascii="宋体" w:hAnsi="宋体"/>
                <w:color w:val="auto"/>
                <w:sz w:val="24"/>
                <w:szCs w:val="24"/>
              </w:rPr>
              <w:t>人/分钟；</w:t>
            </w:r>
          </w:p>
          <w:p>
            <w:pPr>
              <w:widowControl/>
              <w:spacing w:line="360" w:lineRule="auto"/>
              <w:jc w:val="left"/>
              <w:rPr>
                <w:rFonts w:ascii="宋体" w:hAnsi="宋体"/>
                <w:color w:val="auto"/>
                <w:sz w:val="24"/>
                <w:szCs w:val="24"/>
              </w:rPr>
            </w:pPr>
            <w:r>
              <w:rPr>
                <w:rFonts w:hint="eastAsia" w:ascii="宋体" w:hAnsi="宋体" w:eastAsia="宋体" w:cs="宋体"/>
                <w:color w:val="auto"/>
                <w:sz w:val="24"/>
                <w:szCs w:val="24"/>
              </w:rPr>
              <w:t>★</w:t>
            </w: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与安徽材料工程学校智慧校园系统完成数据对接，学生及教职工信息、走读生信息、请假信息等与智慧校园系统完成对接，因数据对接产生的费用均包含在报价内，学校不再为本项目支付任何其他费用。</w:t>
            </w:r>
          </w:p>
        </w:tc>
        <w:tc>
          <w:tcPr>
            <w:tcW w:w="779" w:type="dxa"/>
            <w:vAlign w:val="center"/>
          </w:tcPr>
          <w:p>
            <w:pPr>
              <w:spacing w:line="360" w:lineRule="auto"/>
              <w:rPr>
                <w:rFonts w:ascii="宋体" w:hAnsi="宋体"/>
                <w:b/>
                <w:bCs/>
                <w:color w:val="auto"/>
                <w:sz w:val="24"/>
                <w:szCs w:val="24"/>
              </w:rPr>
            </w:pPr>
            <w:r>
              <w:rPr>
                <w:rFonts w:ascii="宋体" w:hAnsi="宋体" w:cs="宋体"/>
                <w:color w:val="auto"/>
                <w:kern w:val="0"/>
                <w:sz w:val="24"/>
                <w:szCs w:val="24"/>
              </w:rPr>
              <w:t>2</w:t>
            </w:r>
            <w:r>
              <w:rPr>
                <w:rFonts w:hint="eastAsia" w:ascii="宋体" w:hAnsi="宋体" w:cs="宋体"/>
                <w:color w:val="auto"/>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2</w:t>
            </w:r>
          </w:p>
        </w:tc>
        <w:tc>
          <w:tcPr>
            <w:tcW w:w="709" w:type="dxa"/>
            <w:vAlign w:val="center"/>
          </w:tcPr>
          <w:p>
            <w:pPr>
              <w:spacing w:line="360" w:lineRule="auto"/>
              <w:rPr>
                <w:rFonts w:ascii="宋体" w:hAnsi="宋体"/>
                <w:b/>
                <w:bCs/>
                <w:color w:val="auto"/>
                <w:sz w:val="24"/>
                <w:szCs w:val="24"/>
              </w:rPr>
            </w:pPr>
            <w:r>
              <w:rPr>
                <w:rFonts w:hint="eastAsia" w:ascii="宋体" w:hAnsi="宋体" w:cs="宋体"/>
                <w:color w:val="auto"/>
                <w:kern w:val="0"/>
                <w:sz w:val="24"/>
                <w:szCs w:val="24"/>
              </w:rPr>
              <w:t>宿舍区人脸识别考勤机</w:t>
            </w:r>
          </w:p>
        </w:tc>
        <w:tc>
          <w:tcPr>
            <w:tcW w:w="6104" w:type="dxa"/>
            <w:vAlign w:val="center"/>
          </w:tcPr>
          <w:p>
            <w:pPr>
              <w:spacing w:line="360" w:lineRule="auto"/>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在学校指定的宿舍位置安装人脸识别考勤机，每台考勤机可记录学生是进还是出。</w:t>
            </w:r>
          </w:p>
          <w:p>
            <w:pPr>
              <w:spacing w:line="360" w:lineRule="auto"/>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学生早晨、中午、傍晚离开宿舍，中午、傍晚、晚上返回宿舍必须到考勤机上刷脸考勤；</w:t>
            </w:r>
          </w:p>
          <w:p>
            <w:pPr>
              <w:spacing w:line="360" w:lineRule="auto"/>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对学生在规定的时间段进出宿舍进行考勤，关联学生请假系统；</w:t>
            </w:r>
          </w:p>
          <w:p>
            <w:pPr>
              <w:spacing w:line="360" w:lineRule="auto"/>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形成宿舍未出未归人员名单，有中午进对应中午出；傍晚进对应傍晚出；晚上进对应早晨出三种情况，系统数据自动过滤请假学生，工作人员可在智慧安材手机端按照3个时间段快速查询；</w:t>
            </w:r>
          </w:p>
          <w:p>
            <w:pPr>
              <w:spacing w:line="360" w:lineRule="auto"/>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未出未归人员名单可供授权人员查询；</w:t>
            </w:r>
          </w:p>
          <w:p>
            <w:pPr>
              <w:spacing w:line="360" w:lineRule="auto"/>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w:t>
            </w:r>
            <w:r>
              <w:rPr>
                <w:rFonts w:hint="eastAsia" w:ascii="宋体" w:hAnsi="宋体"/>
                <w:color w:val="auto"/>
                <w:sz w:val="24"/>
                <w:szCs w:val="24"/>
              </w:rPr>
              <w:t>可在智慧校园电脑端对学生进出宿舍刷脸的明细进行查询导出；</w:t>
            </w:r>
          </w:p>
          <w:p>
            <w:pPr>
              <w:spacing w:line="360" w:lineRule="auto"/>
              <w:rPr>
                <w:rFonts w:ascii="宋体" w:hAnsi="宋体"/>
                <w:b/>
                <w:bCs/>
                <w:color w:val="auto"/>
                <w:sz w:val="24"/>
                <w:szCs w:val="24"/>
              </w:rPr>
            </w:pPr>
            <w:r>
              <w:rPr>
                <w:rFonts w:ascii="宋体" w:hAnsi="宋体"/>
                <w:color w:val="auto"/>
                <w:sz w:val="24"/>
                <w:szCs w:val="24"/>
              </w:rPr>
              <w:t>7.</w:t>
            </w:r>
            <w:r>
              <w:rPr>
                <w:rFonts w:hint="eastAsia" w:ascii="宋体" w:hAnsi="宋体"/>
                <w:color w:val="auto"/>
                <w:sz w:val="24"/>
                <w:szCs w:val="24"/>
              </w:rPr>
              <w:t>未出未归学生自动归档至现行的操行管理，实现自动扣分处理；</w:t>
            </w:r>
          </w:p>
          <w:p>
            <w:pPr>
              <w:spacing w:line="360" w:lineRule="auto"/>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w:t>
            </w:r>
            <w:r>
              <w:rPr>
                <w:rFonts w:hint="eastAsia" w:ascii="宋体" w:hAnsi="宋体"/>
                <w:color w:val="auto"/>
                <w:sz w:val="24"/>
                <w:szCs w:val="24"/>
              </w:rPr>
              <w:t>校方负责提供设备安装所需的电源和网络支持；</w:t>
            </w:r>
          </w:p>
          <w:p>
            <w:pPr>
              <w:spacing w:line="360" w:lineRule="auto"/>
              <w:rPr>
                <w:rFonts w:ascii="宋体" w:hAnsi="宋体"/>
                <w:color w:val="auto"/>
                <w:sz w:val="24"/>
                <w:szCs w:val="24"/>
              </w:rPr>
            </w:pPr>
            <w:r>
              <w:rPr>
                <w:rFonts w:hint="eastAsia" w:ascii="宋体" w:hAnsi="宋体" w:eastAsia="宋体" w:cs="宋体"/>
                <w:color w:val="auto"/>
                <w:sz w:val="24"/>
                <w:szCs w:val="24"/>
              </w:rPr>
              <w:t>★</w:t>
            </w:r>
            <w:r>
              <w:rPr>
                <w:rFonts w:hint="eastAsia" w:ascii="宋体" w:hAnsi="宋体"/>
                <w:color w:val="auto"/>
                <w:sz w:val="24"/>
                <w:szCs w:val="24"/>
              </w:rPr>
              <w:t>9</w:t>
            </w:r>
            <w:r>
              <w:rPr>
                <w:rFonts w:ascii="宋体" w:hAnsi="宋体"/>
                <w:color w:val="auto"/>
                <w:sz w:val="24"/>
                <w:szCs w:val="24"/>
              </w:rPr>
              <w:t>.</w:t>
            </w:r>
            <w:r>
              <w:rPr>
                <w:rFonts w:hint="eastAsia" w:ascii="宋体" w:hAnsi="宋体"/>
                <w:color w:val="auto"/>
                <w:sz w:val="24"/>
                <w:szCs w:val="24"/>
              </w:rPr>
              <w:t>与安徽材料工程学校智慧校园系统完成数据对接，学生及教职工信息、走读生信息、请假信息等与智慧校园系统完成对接，因数据对接产生的费用均包含在报价内，学校不再为本项目支付任何其他费用。</w:t>
            </w:r>
          </w:p>
        </w:tc>
        <w:tc>
          <w:tcPr>
            <w:tcW w:w="779" w:type="dxa"/>
            <w:vAlign w:val="center"/>
          </w:tcPr>
          <w:p>
            <w:pPr>
              <w:spacing w:line="360" w:lineRule="auto"/>
              <w:rPr>
                <w:rFonts w:ascii="宋体" w:hAnsi="宋体"/>
                <w:b/>
                <w:bCs/>
                <w:color w:val="auto"/>
                <w:sz w:val="24"/>
                <w:szCs w:val="24"/>
              </w:rPr>
            </w:pPr>
            <w:r>
              <w:rPr>
                <w:rFonts w:hint="eastAsia" w:ascii="宋体" w:hAnsi="宋体" w:cs="宋体"/>
                <w:color w:val="auto"/>
                <w:kern w:val="0"/>
                <w:sz w:val="24"/>
                <w:szCs w:val="24"/>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3</w:t>
            </w:r>
          </w:p>
        </w:tc>
        <w:tc>
          <w:tcPr>
            <w:tcW w:w="709" w:type="dxa"/>
            <w:vAlign w:val="center"/>
          </w:tcPr>
          <w:p>
            <w:pPr>
              <w:spacing w:line="360" w:lineRule="auto"/>
              <w:rPr>
                <w:rFonts w:ascii="宋体" w:hAnsi="宋体"/>
                <w:b/>
                <w:bCs/>
                <w:color w:val="auto"/>
                <w:sz w:val="24"/>
                <w:szCs w:val="24"/>
              </w:rPr>
            </w:pPr>
            <w:r>
              <w:rPr>
                <w:rFonts w:hint="eastAsia" w:ascii="宋体" w:hAnsi="宋体" w:cs="宋体"/>
                <w:color w:val="auto"/>
                <w:kern w:val="0"/>
                <w:sz w:val="24"/>
                <w:szCs w:val="24"/>
              </w:rPr>
              <w:t>人脸考勤设备</w:t>
            </w:r>
          </w:p>
        </w:tc>
        <w:tc>
          <w:tcPr>
            <w:tcW w:w="6104" w:type="dxa"/>
            <w:vAlign w:val="center"/>
          </w:tcPr>
          <w:p>
            <w:pPr>
              <w:spacing w:line="360" w:lineRule="auto"/>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w:t>
            </w:r>
            <w:r>
              <w:rPr>
                <w:rFonts w:hint="eastAsia" w:ascii="宋体" w:hAnsi="宋体"/>
                <w:color w:val="auto"/>
                <w:sz w:val="24"/>
                <w:szCs w:val="24"/>
              </w:rPr>
              <w:t>为满足人员的可操作性及用户体验，本次招标要求人脸识别终端操作系统为安卓系统，系统版本不低于Android7.1；</w:t>
            </w:r>
          </w:p>
          <w:p>
            <w:pPr>
              <w:spacing w:line="360" w:lineRule="auto"/>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考勤设备屏幕不小于</w:t>
            </w:r>
            <w:r>
              <w:rPr>
                <w:rFonts w:ascii="宋体" w:hAnsi="宋体"/>
                <w:color w:val="auto"/>
                <w:sz w:val="24"/>
                <w:szCs w:val="24"/>
              </w:rPr>
              <w:t>5.5</w:t>
            </w:r>
            <w:r>
              <w:rPr>
                <w:rFonts w:hint="eastAsia" w:ascii="宋体" w:hAnsi="宋体"/>
                <w:color w:val="auto"/>
                <w:sz w:val="24"/>
                <w:szCs w:val="24"/>
              </w:rPr>
              <w:t>英寸触摸屏，屏幕分辨率不低于1280*</w:t>
            </w:r>
            <w:r>
              <w:rPr>
                <w:rFonts w:ascii="宋体" w:hAnsi="宋体"/>
                <w:color w:val="auto"/>
                <w:sz w:val="24"/>
                <w:szCs w:val="24"/>
              </w:rPr>
              <w:t>720</w:t>
            </w:r>
            <w:r>
              <w:rPr>
                <w:rFonts w:hint="eastAsia" w:ascii="宋体" w:hAnsi="宋体"/>
                <w:color w:val="auto"/>
                <w:sz w:val="24"/>
                <w:szCs w:val="24"/>
              </w:rPr>
              <w:t>；</w:t>
            </w:r>
          </w:p>
          <w:p>
            <w:pPr>
              <w:spacing w:line="360" w:lineRule="auto"/>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终端设备应支持壁挂式安装，美观大方科技感强，机身厚度不超过</w:t>
            </w:r>
            <w:r>
              <w:rPr>
                <w:rFonts w:ascii="宋体" w:hAnsi="宋体"/>
                <w:color w:val="auto"/>
                <w:sz w:val="24"/>
                <w:szCs w:val="24"/>
              </w:rPr>
              <w:t>2</w:t>
            </w:r>
            <w:r>
              <w:rPr>
                <w:rFonts w:hint="eastAsia" w:ascii="宋体" w:hAnsi="宋体"/>
                <w:color w:val="auto"/>
                <w:sz w:val="24"/>
                <w:szCs w:val="24"/>
              </w:rPr>
              <w:t>厘米，重量不超过</w:t>
            </w:r>
            <w:r>
              <w:rPr>
                <w:rFonts w:ascii="宋体" w:hAnsi="宋体"/>
                <w:color w:val="auto"/>
                <w:sz w:val="24"/>
                <w:szCs w:val="24"/>
              </w:rPr>
              <w:t>350</w:t>
            </w:r>
            <w:r>
              <w:rPr>
                <w:rFonts w:hint="eastAsia" w:ascii="宋体" w:hAnsi="宋体"/>
                <w:color w:val="auto"/>
                <w:sz w:val="24"/>
                <w:szCs w:val="24"/>
              </w:rPr>
              <w:t>g；</w:t>
            </w:r>
          </w:p>
          <w:p>
            <w:pPr>
              <w:spacing w:line="360" w:lineRule="auto"/>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为满足综合布线的便利性，设备支持POE供电和集中供电两种模式；</w:t>
            </w:r>
          </w:p>
          <w:p>
            <w:pPr>
              <w:spacing w:line="360" w:lineRule="auto"/>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设备具备双目(可见光+红外)摄像头，每个摄像头分辨率不低于1920*1080；终端集成双目活体/真人检测算法；</w:t>
            </w:r>
          </w:p>
          <w:p>
            <w:pPr>
              <w:spacing w:line="360" w:lineRule="auto"/>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w:t>
            </w:r>
            <w:r>
              <w:rPr>
                <w:rFonts w:hint="eastAsia" w:ascii="宋体" w:hAnsi="宋体"/>
                <w:color w:val="auto"/>
                <w:sz w:val="24"/>
                <w:szCs w:val="24"/>
              </w:rPr>
              <w:t>为满足项目使用人数的条件和可扩展性，设备应具备</w:t>
            </w:r>
            <w:r>
              <w:rPr>
                <w:rFonts w:ascii="宋体" w:hAnsi="宋体"/>
                <w:color w:val="auto"/>
                <w:sz w:val="24"/>
                <w:szCs w:val="24"/>
              </w:rPr>
              <w:t>2</w:t>
            </w:r>
            <w:r>
              <w:rPr>
                <w:rFonts w:hint="eastAsia" w:ascii="宋体" w:hAnsi="宋体"/>
                <w:color w:val="auto"/>
                <w:sz w:val="24"/>
                <w:szCs w:val="24"/>
              </w:rPr>
              <w:t>0000人员库，且支持断网情况下不影响人员库的任何人进行人脸识别；</w:t>
            </w:r>
          </w:p>
          <w:p>
            <w:pPr>
              <w:spacing w:line="360" w:lineRule="auto"/>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hint="eastAsia" w:ascii="宋体" w:hAnsi="宋体"/>
                <w:color w:val="auto"/>
                <w:sz w:val="24"/>
                <w:szCs w:val="24"/>
              </w:rPr>
              <w:t>为满足人脸识别通行的准确性，设备应具备超高的识别准确率，人脸识别误识率不超过0.01%，人脸识别准确率不低于99.99%，检测有效人员库不低于10000人；</w:t>
            </w:r>
          </w:p>
          <w:p>
            <w:pPr>
              <w:spacing w:line="360" w:lineRule="auto"/>
              <w:rPr>
                <w:rFonts w:ascii="宋体" w:hAnsi="宋体"/>
                <w:color w:val="auto"/>
                <w:sz w:val="24"/>
                <w:szCs w:val="24"/>
              </w:rPr>
            </w:pPr>
            <w:r>
              <w:rPr>
                <w:rFonts w:hint="eastAsia" w:ascii="宋体" w:hAnsi="宋体"/>
                <w:color w:val="auto"/>
                <w:sz w:val="24"/>
                <w:szCs w:val="24"/>
              </w:rPr>
              <w:t>8．设备应具备暗光、强光、逆光识别功能，需支持光线在0.01lux条件下不启用补光灯进行人脸识别，需支持光线在200000lux条件下进行强光、逆光环境下的人脸识别；</w:t>
            </w:r>
          </w:p>
          <w:p>
            <w:pPr>
              <w:spacing w:line="360" w:lineRule="auto"/>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w:t>
            </w:r>
            <w:r>
              <w:rPr>
                <w:rFonts w:hint="eastAsia" w:ascii="宋体" w:hAnsi="宋体"/>
                <w:color w:val="auto"/>
                <w:sz w:val="24"/>
                <w:szCs w:val="24"/>
              </w:rPr>
              <w:t>设备应具备快速识别能力，人脸识别时间不应超过300毫秒；</w:t>
            </w:r>
          </w:p>
          <w:p>
            <w:pPr>
              <w:spacing w:line="360" w:lineRule="auto"/>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0.</w:t>
            </w:r>
            <w:r>
              <w:rPr>
                <w:rFonts w:hint="eastAsia" w:ascii="宋体" w:hAnsi="宋体"/>
                <w:color w:val="auto"/>
                <w:sz w:val="24"/>
                <w:szCs w:val="24"/>
              </w:rPr>
              <w:t>为满足与门禁等系统对接，本次招标要求人脸识别终端支持多种硬件接口，包括不限于：韦根接口、485接口、继电器接口、I/O接口、USB接口、网络接口等，支持通过韦根接口控制门禁控制器进行开门；</w:t>
            </w:r>
          </w:p>
          <w:p>
            <w:pPr>
              <w:spacing w:line="360" w:lineRule="auto"/>
              <w:rPr>
                <w:rFonts w:ascii="宋体" w:hAnsi="宋体"/>
                <w:color w:val="auto"/>
                <w:sz w:val="24"/>
                <w:szCs w:val="24"/>
              </w:rPr>
            </w:pPr>
            <w:r>
              <w:rPr>
                <w:rFonts w:ascii="宋体" w:hAnsi="宋体"/>
                <w:color w:val="auto"/>
                <w:sz w:val="24"/>
                <w:szCs w:val="24"/>
              </w:rPr>
              <w:t>11.</w:t>
            </w:r>
            <w:r>
              <w:rPr>
                <w:rFonts w:hint="eastAsia" w:ascii="宋体" w:hAnsi="宋体"/>
                <w:color w:val="auto"/>
                <w:sz w:val="24"/>
                <w:szCs w:val="24"/>
              </w:rPr>
              <w:t>设备应支持识别记录实时上传，网络断开的情况下本地支持50000条离线记录保存，并支持断网续传功能</w:t>
            </w:r>
          </w:p>
          <w:p>
            <w:pPr>
              <w:spacing w:line="360" w:lineRule="auto"/>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2.</w:t>
            </w:r>
            <w:r>
              <w:rPr>
                <w:rFonts w:hint="eastAsia" w:ascii="宋体" w:hAnsi="宋体"/>
                <w:color w:val="auto"/>
                <w:sz w:val="24"/>
                <w:szCs w:val="24"/>
              </w:rPr>
              <w:t>设备应支持对陌生人进行告警并上传告警记录；</w:t>
            </w:r>
          </w:p>
          <w:p>
            <w:pPr>
              <w:spacing w:line="360" w:lineRule="auto"/>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3.</w:t>
            </w:r>
            <w:r>
              <w:rPr>
                <w:rFonts w:hint="eastAsia" w:ascii="宋体" w:hAnsi="宋体"/>
                <w:color w:val="auto"/>
                <w:sz w:val="24"/>
                <w:szCs w:val="24"/>
              </w:rPr>
              <w:t>设备应具备待机功能，在一定时间内没有使用时自动进入待机模式，待机时间可配置，检测到人员靠近后自动激活；</w:t>
            </w:r>
          </w:p>
          <w:p>
            <w:pPr>
              <w:spacing w:line="360" w:lineRule="auto"/>
              <w:rPr>
                <w:rFonts w:ascii="宋体" w:hAnsi="宋体"/>
                <w:color w:val="auto"/>
                <w:sz w:val="24"/>
                <w:szCs w:val="24"/>
              </w:rPr>
            </w:pPr>
            <w:r>
              <w:rPr>
                <w:rFonts w:hint="eastAsia" w:ascii="宋体" w:hAnsi="宋体" w:eastAsia="宋体" w:cs="宋体"/>
                <w:color w:val="auto"/>
                <w:sz w:val="24"/>
                <w:szCs w:val="24"/>
              </w:rPr>
              <w:t>★</w:t>
            </w:r>
            <w:r>
              <w:rPr>
                <w:rFonts w:hint="eastAsia" w:ascii="宋体" w:hAnsi="宋体"/>
                <w:color w:val="auto"/>
                <w:sz w:val="24"/>
                <w:szCs w:val="24"/>
              </w:rPr>
              <w:t>1</w:t>
            </w:r>
            <w:r>
              <w:rPr>
                <w:rFonts w:ascii="宋体" w:hAnsi="宋体"/>
                <w:color w:val="auto"/>
                <w:sz w:val="24"/>
                <w:szCs w:val="24"/>
              </w:rPr>
              <w:t>4.</w:t>
            </w:r>
            <w:r>
              <w:rPr>
                <w:rFonts w:hint="eastAsia" w:ascii="宋体" w:hAnsi="宋体"/>
                <w:color w:val="auto"/>
                <w:sz w:val="24"/>
                <w:szCs w:val="24"/>
              </w:rPr>
              <w:t>与安徽材料工程学校智慧校园系统完成数据对接，学生及教职工信息、走读生信息、请假信息等与智慧校园系统完成对接，因数据对接产生的费用均包含在报价内，学校不再为本项目支付任何其他费用。</w:t>
            </w:r>
          </w:p>
        </w:tc>
        <w:tc>
          <w:tcPr>
            <w:tcW w:w="779" w:type="dxa"/>
            <w:vAlign w:val="center"/>
          </w:tcPr>
          <w:p>
            <w:pPr>
              <w:spacing w:line="360" w:lineRule="auto"/>
              <w:rPr>
                <w:rFonts w:ascii="宋体" w:hAnsi="宋体"/>
                <w:b/>
                <w:bCs/>
                <w:color w:val="auto"/>
                <w:sz w:val="24"/>
                <w:szCs w:val="24"/>
              </w:rPr>
            </w:pPr>
            <w:r>
              <w:rPr>
                <w:rFonts w:ascii="宋体" w:hAnsi="宋体" w:cs="宋体"/>
                <w:color w:val="auto"/>
                <w:kern w:val="0"/>
                <w:sz w:val="24"/>
                <w:szCs w:val="24"/>
              </w:rPr>
              <w:t>7</w:t>
            </w:r>
            <w:r>
              <w:rPr>
                <w:rFonts w:hint="eastAsia" w:ascii="宋体" w:hAnsi="宋体" w:cs="宋体"/>
                <w:color w:val="auto"/>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4</w:t>
            </w:r>
          </w:p>
        </w:tc>
        <w:tc>
          <w:tcPr>
            <w:tcW w:w="709" w:type="dxa"/>
            <w:vAlign w:val="center"/>
          </w:tcPr>
          <w:p>
            <w:pPr>
              <w:spacing w:line="360" w:lineRule="auto"/>
              <w:rPr>
                <w:rFonts w:ascii="宋体" w:hAnsi="宋体"/>
                <w:b/>
                <w:bCs/>
                <w:color w:val="auto"/>
                <w:sz w:val="24"/>
                <w:szCs w:val="24"/>
              </w:rPr>
            </w:pPr>
            <w:r>
              <w:rPr>
                <w:rFonts w:hint="eastAsia" w:ascii="宋体" w:hAnsi="宋体" w:cs="宋体"/>
                <w:color w:val="auto"/>
                <w:kern w:val="0"/>
                <w:sz w:val="24"/>
                <w:szCs w:val="24"/>
              </w:rPr>
              <w:t>人脸识别管理系统</w:t>
            </w:r>
          </w:p>
        </w:tc>
        <w:tc>
          <w:tcPr>
            <w:tcW w:w="6104" w:type="dxa"/>
            <w:vAlign w:val="center"/>
          </w:tcPr>
          <w:p>
            <w:pPr>
              <w:spacing w:line="360" w:lineRule="auto"/>
              <w:rPr>
                <w:rFonts w:ascii="宋体" w:hAnsi="宋体"/>
                <w:color w:val="auto"/>
                <w:sz w:val="24"/>
                <w:szCs w:val="24"/>
              </w:rPr>
            </w:pPr>
            <w:r>
              <w:rPr>
                <w:rFonts w:hint="eastAsia" w:ascii="宋体" w:hAnsi="宋体"/>
                <w:color w:val="auto"/>
                <w:sz w:val="24"/>
                <w:szCs w:val="24"/>
              </w:rPr>
              <w:t>1.对需要进入校园的人员进行身份识别，教职工、学生在任意时段均可开闸放行进入校园；</w:t>
            </w:r>
          </w:p>
          <w:p>
            <w:pPr>
              <w:spacing w:line="360" w:lineRule="auto"/>
              <w:rPr>
                <w:rFonts w:ascii="宋体" w:hAnsi="宋体"/>
                <w:color w:val="auto"/>
                <w:sz w:val="24"/>
                <w:szCs w:val="24"/>
              </w:rPr>
            </w:pPr>
            <w:r>
              <w:rPr>
                <w:rFonts w:hint="eastAsia" w:ascii="宋体" w:hAnsi="宋体"/>
                <w:color w:val="auto"/>
                <w:sz w:val="24"/>
                <w:szCs w:val="24"/>
              </w:rPr>
              <w:t>2.对需要出校园的人员进行身份识别，符合条件的教职工可开闸放行，学生在禁行时段不可外出，允许通行时段可开闸放行，请假学生除外；</w:t>
            </w:r>
          </w:p>
          <w:p>
            <w:pPr>
              <w:spacing w:line="360" w:lineRule="auto"/>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.对教职工、学生进出校园的时间进行记录，形成进出校日志，可备查询；</w:t>
            </w:r>
          </w:p>
          <w:p>
            <w:pPr>
              <w:spacing w:line="360" w:lineRule="auto"/>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.教职工刷脸通过南大门闸机后自动完成考勤，考勤数据与现有手机端人脸识别系统融合，即通过其中任意一种方式完成考勤即可，数据自动进入安徽材料工程学校智慧校园系统，超出考勤时间的除外；</w:t>
            </w:r>
          </w:p>
          <w:p>
            <w:pPr>
              <w:spacing w:line="360" w:lineRule="auto"/>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.学校可设置学生外出通行时段，在通行时段内学生可通过闸机刷脸出学校；</w:t>
            </w:r>
          </w:p>
          <w:p>
            <w:pPr>
              <w:spacing w:line="360" w:lineRule="auto"/>
              <w:rPr>
                <w:rFonts w:ascii="宋体" w:hAnsi="宋体"/>
                <w:color w:val="auto"/>
                <w:sz w:val="24"/>
                <w:szCs w:val="24"/>
              </w:rPr>
            </w:pPr>
            <w:r>
              <w:rPr>
                <w:rFonts w:hint="eastAsia" w:ascii="宋体" w:hAnsi="宋体"/>
                <w:color w:val="auto"/>
                <w:sz w:val="24"/>
                <w:szCs w:val="24"/>
              </w:rPr>
              <w:t>6.走读生可在学校规定的走读生通行时段内通过闸机刷脸出学校；</w:t>
            </w:r>
          </w:p>
          <w:p>
            <w:pPr>
              <w:spacing w:line="360" w:lineRule="auto"/>
              <w:rPr>
                <w:rFonts w:ascii="宋体" w:hAnsi="宋体"/>
                <w:color w:val="auto"/>
                <w:sz w:val="24"/>
                <w:szCs w:val="24"/>
              </w:rPr>
            </w:pPr>
            <w:r>
              <w:rPr>
                <w:rFonts w:hint="eastAsia" w:ascii="宋体" w:hAnsi="宋体"/>
                <w:color w:val="auto"/>
                <w:sz w:val="24"/>
                <w:szCs w:val="24"/>
              </w:rPr>
              <w:t>7.周末留校学生可在学校规定的周末留校学生通行时段内通过闸机刷脸出学校；</w:t>
            </w:r>
          </w:p>
          <w:p>
            <w:pPr>
              <w:spacing w:line="360" w:lineRule="auto"/>
              <w:rPr>
                <w:rFonts w:ascii="宋体" w:hAnsi="宋体"/>
                <w:color w:val="auto"/>
                <w:sz w:val="24"/>
                <w:szCs w:val="24"/>
              </w:rPr>
            </w:pPr>
            <w:r>
              <w:rPr>
                <w:rFonts w:hint="eastAsia" w:ascii="宋体" w:hAnsi="宋体"/>
                <w:color w:val="auto"/>
                <w:sz w:val="24"/>
                <w:szCs w:val="24"/>
              </w:rPr>
              <w:t>8.请假学生在请假时段内可通过闸机刷脸出学校；</w:t>
            </w:r>
          </w:p>
          <w:p>
            <w:pPr>
              <w:spacing w:line="360" w:lineRule="auto"/>
              <w:rPr>
                <w:rFonts w:ascii="宋体" w:hAnsi="宋体"/>
                <w:color w:val="auto"/>
                <w:sz w:val="24"/>
                <w:szCs w:val="24"/>
              </w:rPr>
            </w:pPr>
            <w:r>
              <w:rPr>
                <w:rFonts w:ascii="宋体" w:hAnsi="宋体"/>
                <w:color w:val="auto"/>
                <w:sz w:val="24"/>
                <w:szCs w:val="24"/>
              </w:rPr>
              <w:t>9</w:t>
            </w:r>
            <w:r>
              <w:rPr>
                <w:rFonts w:hint="eastAsia" w:ascii="宋体" w:hAnsi="宋体"/>
                <w:color w:val="auto"/>
                <w:sz w:val="24"/>
                <w:szCs w:val="24"/>
              </w:rPr>
              <w:t>.校方负责提供设备安装所需的电源和网络支持；</w:t>
            </w:r>
          </w:p>
          <w:p>
            <w:pPr>
              <w:spacing w:line="360" w:lineRule="auto"/>
              <w:rPr>
                <w:rFonts w:ascii="宋体" w:hAnsi="宋体" w:cs="宋体"/>
                <w:color w:val="auto"/>
                <w:kern w:val="0"/>
                <w:sz w:val="24"/>
                <w:szCs w:val="24"/>
              </w:rPr>
            </w:pPr>
            <w:r>
              <w:rPr>
                <w:rFonts w:hint="eastAsia" w:ascii="宋体" w:hAnsi="宋体" w:eastAsia="宋体" w:cs="宋体"/>
                <w:color w:val="auto"/>
                <w:sz w:val="24"/>
                <w:szCs w:val="24"/>
              </w:rPr>
              <w:t>★</w:t>
            </w:r>
            <w:r>
              <w:rPr>
                <w:rFonts w:hint="eastAsia" w:ascii="宋体" w:hAnsi="宋体"/>
                <w:color w:val="auto"/>
                <w:sz w:val="24"/>
                <w:szCs w:val="24"/>
              </w:rPr>
              <w:t>1</w:t>
            </w:r>
            <w:r>
              <w:rPr>
                <w:rFonts w:ascii="宋体" w:hAnsi="宋体"/>
                <w:color w:val="auto"/>
                <w:sz w:val="24"/>
                <w:szCs w:val="24"/>
              </w:rPr>
              <w:t>0.</w:t>
            </w:r>
            <w:r>
              <w:rPr>
                <w:rFonts w:hint="eastAsia" w:ascii="宋体" w:hAnsi="宋体"/>
                <w:color w:val="auto"/>
                <w:sz w:val="24"/>
                <w:szCs w:val="24"/>
              </w:rPr>
              <w:t>与安徽材料工程学校智慧校园系统完成数据对接，学生及教职工信息、走读生信息、请假信息等与智慧校园系统完成对接，因数据对接产生的费用均包含在报价内，学校不再为本项目支付任何其他费用。</w:t>
            </w:r>
          </w:p>
        </w:tc>
        <w:tc>
          <w:tcPr>
            <w:tcW w:w="779" w:type="dxa"/>
            <w:vAlign w:val="center"/>
          </w:tcPr>
          <w:p>
            <w:pPr>
              <w:spacing w:line="360" w:lineRule="auto"/>
              <w:rPr>
                <w:rFonts w:ascii="宋体" w:hAnsi="宋体"/>
                <w:b/>
                <w:bCs/>
                <w:color w:val="auto"/>
                <w:sz w:val="24"/>
                <w:szCs w:val="24"/>
              </w:rPr>
            </w:pPr>
            <w:r>
              <w:rPr>
                <w:rFonts w:hint="eastAsia" w:ascii="宋体" w:hAnsi="宋体" w:cs="宋体"/>
                <w:color w:val="auto"/>
                <w:kern w:val="0"/>
                <w:sz w:val="24"/>
                <w:szCs w:val="24"/>
              </w:rPr>
              <w:t>1套</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sz w:val="24"/>
          <w:szCs w:val="24"/>
        </w:rPr>
      </w:pPr>
      <w:r>
        <w:rPr>
          <w:rFonts w:hint="eastAsia" w:ascii="宋体" w:hAnsi="宋体"/>
          <w:b/>
          <w:bCs/>
          <w:sz w:val="24"/>
          <w:szCs w:val="24"/>
          <w:lang w:eastAsia="zh-CN"/>
        </w:rPr>
        <w:t>三</w:t>
      </w:r>
      <w:r>
        <w:rPr>
          <w:rFonts w:hint="eastAsia" w:ascii="宋体" w:hAnsi="宋体"/>
          <w:b/>
          <w:bCs/>
          <w:sz w:val="24"/>
          <w:szCs w:val="24"/>
        </w:rPr>
        <w:t>、质保期</w:t>
      </w:r>
    </w:p>
    <w:p>
      <w:pPr>
        <w:spacing w:line="360" w:lineRule="auto"/>
        <w:ind w:firstLine="480" w:firstLineChars="200"/>
        <w:rPr>
          <w:rFonts w:ascii="宋体" w:hAnsi="宋体"/>
          <w:sz w:val="24"/>
          <w:szCs w:val="24"/>
        </w:rPr>
      </w:pPr>
      <w:r>
        <w:rPr>
          <w:rFonts w:hint="eastAsia" w:ascii="宋体" w:hAnsi="宋体"/>
          <w:sz w:val="24"/>
          <w:szCs w:val="24"/>
        </w:rPr>
        <w:t>按国家标准执行，中标供应商提供硬件设备壹年免费质保,软件终身维护。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4F"/>
    <w:rsid w:val="00000263"/>
    <w:rsid w:val="00020C5B"/>
    <w:rsid w:val="000227CD"/>
    <w:rsid w:val="00036FD8"/>
    <w:rsid w:val="000509E0"/>
    <w:rsid w:val="000702FA"/>
    <w:rsid w:val="00090BEC"/>
    <w:rsid w:val="000947E5"/>
    <w:rsid w:val="00096104"/>
    <w:rsid w:val="000B0DD2"/>
    <w:rsid w:val="000D4D15"/>
    <w:rsid w:val="00103158"/>
    <w:rsid w:val="00104127"/>
    <w:rsid w:val="00123918"/>
    <w:rsid w:val="00125B3F"/>
    <w:rsid w:val="00157085"/>
    <w:rsid w:val="001611A4"/>
    <w:rsid w:val="00197009"/>
    <w:rsid w:val="001B18CE"/>
    <w:rsid w:val="001C21D0"/>
    <w:rsid w:val="00210A85"/>
    <w:rsid w:val="00256926"/>
    <w:rsid w:val="00270165"/>
    <w:rsid w:val="002723C5"/>
    <w:rsid w:val="00283C52"/>
    <w:rsid w:val="002A0997"/>
    <w:rsid w:val="002A2187"/>
    <w:rsid w:val="002C1D7F"/>
    <w:rsid w:val="002C729F"/>
    <w:rsid w:val="002C78DE"/>
    <w:rsid w:val="002D4145"/>
    <w:rsid w:val="002E0377"/>
    <w:rsid w:val="00315FF2"/>
    <w:rsid w:val="003317A6"/>
    <w:rsid w:val="00365D5D"/>
    <w:rsid w:val="003727BA"/>
    <w:rsid w:val="003C184F"/>
    <w:rsid w:val="003D7585"/>
    <w:rsid w:val="0040112B"/>
    <w:rsid w:val="00420C85"/>
    <w:rsid w:val="004274B1"/>
    <w:rsid w:val="00450DA4"/>
    <w:rsid w:val="00463182"/>
    <w:rsid w:val="00463F14"/>
    <w:rsid w:val="00477E77"/>
    <w:rsid w:val="0048135D"/>
    <w:rsid w:val="004920E7"/>
    <w:rsid w:val="004C2542"/>
    <w:rsid w:val="004E2C3B"/>
    <w:rsid w:val="004E3A99"/>
    <w:rsid w:val="0052699C"/>
    <w:rsid w:val="00543F0F"/>
    <w:rsid w:val="00556297"/>
    <w:rsid w:val="00560040"/>
    <w:rsid w:val="0058491D"/>
    <w:rsid w:val="005B5580"/>
    <w:rsid w:val="005C0ED0"/>
    <w:rsid w:val="005C1B0E"/>
    <w:rsid w:val="005C5F7D"/>
    <w:rsid w:val="005D6332"/>
    <w:rsid w:val="005E29C8"/>
    <w:rsid w:val="005F3CE3"/>
    <w:rsid w:val="005F6DA7"/>
    <w:rsid w:val="00602C7B"/>
    <w:rsid w:val="0064094F"/>
    <w:rsid w:val="006562C2"/>
    <w:rsid w:val="0067677C"/>
    <w:rsid w:val="00680F12"/>
    <w:rsid w:val="006844AF"/>
    <w:rsid w:val="006A1E93"/>
    <w:rsid w:val="006B0508"/>
    <w:rsid w:val="006B6CB5"/>
    <w:rsid w:val="006C2A9B"/>
    <w:rsid w:val="006C493B"/>
    <w:rsid w:val="006D0966"/>
    <w:rsid w:val="006D778B"/>
    <w:rsid w:val="006E1551"/>
    <w:rsid w:val="006F4FB5"/>
    <w:rsid w:val="0070240E"/>
    <w:rsid w:val="007200B2"/>
    <w:rsid w:val="007225E6"/>
    <w:rsid w:val="00727297"/>
    <w:rsid w:val="0075408E"/>
    <w:rsid w:val="007924BC"/>
    <w:rsid w:val="0079382D"/>
    <w:rsid w:val="007B19D7"/>
    <w:rsid w:val="007F3B54"/>
    <w:rsid w:val="00812449"/>
    <w:rsid w:val="00841C76"/>
    <w:rsid w:val="00846232"/>
    <w:rsid w:val="008651D1"/>
    <w:rsid w:val="008663A6"/>
    <w:rsid w:val="00866D6B"/>
    <w:rsid w:val="00897C2F"/>
    <w:rsid w:val="008C5C0C"/>
    <w:rsid w:val="00905B36"/>
    <w:rsid w:val="009130F2"/>
    <w:rsid w:val="00936416"/>
    <w:rsid w:val="00944AF0"/>
    <w:rsid w:val="00947E14"/>
    <w:rsid w:val="00952787"/>
    <w:rsid w:val="0096245C"/>
    <w:rsid w:val="00971091"/>
    <w:rsid w:val="00971788"/>
    <w:rsid w:val="00972317"/>
    <w:rsid w:val="00982C00"/>
    <w:rsid w:val="00996D31"/>
    <w:rsid w:val="009C5EF2"/>
    <w:rsid w:val="009E6C67"/>
    <w:rsid w:val="00A21ACC"/>
    <w:rsid w:val="00A31FC8"/>
    <w:rsid w:val="00A6372D"/>
    <w:rsid w:val="00A734D7"/>
    <w:rsid w:val="00A82603"/>
    <w:rsid w:val="00A8436A"/>
    <w:rsid w:val="00A866DE"/>
    <w:rsid w:val="00AD6879"/>
    <w:rsid w:val="00AF0429"/>
    <w:rsid w:val="00AF4B7C"/>
    <w:rsid w:val="00AF7021"/>
    <w:rsid w:val="00B03789"/>
    <w:rsid w:val="00B17006"/>
    <w:rsid w:val="00B362B4"/>
    <w:rsid w:val="00B40208"/>
    <w:rsid w:val="00B4273F"/>
    <w:rsid w:val="00B46C95"/>
    <w:rsid w:val="00B62069"/>
    <w:rsid w:val="00B6626F"/>
    <w:rsid w:val="00B67B4D"/>
    <w:rsid w:val="00B82865"/>
    <w:rsid w:val="00B90D67"/>
    <w:rsid w:val="00BB5989"/>
    <w:rsid w:val="00BC5550"/>
    <w:rsid w:val="00BD5FFE"/>
    <w:rsid w:val="00BE6B0E"/>
    <w:rsid w:val="00BF3691"/>
    <w:rsid w:val="00BF76AF"/>
    <w:rsid w:val="00C04A74"/>
    <w:rsid w:val="00C45A46"/>
    <w:rsid w:val="00C52293"/>
    <w:rsid w:val="00C629F3"/>
    <w:rsid w:val="00C62D15"/>
    <w:rsid w:val="00C647BD"/>
    <w:rsid w:val="00C939F8"/>
    <w:rsid w:val="00CC6AFE"/>
    <w:rsid w:val="00CE26B1"/>
    <w:rsid w:val="00D04A1B"/>
    <w:rsid w:val="00D25CF0"/>
    <w:rsid w:val="00D34D46"/>
    <w:rsid w:val="00D3511F"/>
    <w:rsid w:val="00D64619"/>
    <w:rsid w:val="00D91603"/>
    <w:rsid w:val="00DA6479"/>
    <w:rsid w:val="00DB06E6"/>
    <w:rsid w:val="00DC04D0"/>
    <w:rsid w:val="00E10B69"/>
    <w:rsid w:val="00E126DC"/>
    <w:rsid w:val="00E15923"/>
    <w:rsid w:val="00E16BE9"/>
    <w:rsid w:val="00E41F63"/>
    <w:rsid w:val="00E46E9F"/>
    <w:rsid w:val="00E46F2E"/>
    <w:rsid w:val="00E7392B"/>
    <w:rsid w:val="00E84DB9"/>
    <w:rsid w:val="00E851F7"/>
    <w:rsid w:val="00E86954"/>
    <w:rsid w:val="00E93473"/>
    <w:rsid w:val="00EA170A"/>
    <w:rsid w:val="00EA18D4"/>
    <w:rsid w:val="00EA6FB0"/>
    <w:rsid w:val="00EC6FBF"/>
    <w:rsid w:val="00EE5377"/>
    <w:rsid w:val="00F3625C"/>
    <w:rsid w:val="00F52A5B"/>
    <w:rsid w:val="00F658A5"/>
    <w:rsid w:val="00F664C7"/>
    <w:rsid w:val="00F81620"/>
    <w:rsid w:val="00FA3677"/>
    <w:rsid w:val="00FD0CD0"/>
    <w:rsid w:val="00FD4E77"/>
    <w:rsid w:val="00FD572E"/>
    <w:rsid w:val="02887203"/>
    <w:rsid w:val="068A51A1"/>
    <w:rsid w:val="08516379"/>
    <w:rsid w:val="08D1287D"/>
    <w:rsid w:val="09114190"/>
    <w:rsid w:val="0E56396D"/>
    <w:rsid w:val="0FCB3318"/>
    <w:rsid w:val="10431526"/>
    <w:rsid w:val="12376C81"/>
    <w:rsid w:val="1A1F33F7"/>
    <w:rsid w:val="1A4123D0"/>
    <w:rsid w:val="1B8B48E3"/>
    <w:rsid w:val="21FD43B5"/>
    <w:rsid w:val="22FB48EB"/>
    <w:rsid w:val="23470B3A"/>
    <w:rsid w:val="2BC866C6"/>
    <w:rsid w:val="37184DFB"/>
    <w:rsid w:val="399301AF"/>
    <w:rsid w:val="3F4C32C3"/>
    <w:rsid w:val="42AB7CE4"/>
    <w:rsid w:val="42DD55FF"/>
    <w:rsid w:val="43113A57"/>
    <w:rsid w:val="470F2D79"/>
    <w:rsid w:val="4A456B57"/>
    <w:rsid w:val="4B0F1EA1"/>
    <w:rsid w:val="4F39080B"/>
    <w:rsid w:val="505221DD"/>
    <w:rsid w:val="53B370F3"/>
    <w:rsid w:val="53F7013F"/>
    <w:rsid w:val="57DF2BAE"/>
    <w:rsid w:val="5AFC0894"/>
    <w:rsid w:val="69250787"/>
    <w:rsid w:val="72157F0D"/>
    <w:rsid w:val="7261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9"/>
    <w:qFormat/>
    <w:uiPriority w:val="9"/>
    <w:pPr>
      <w:keepNext/>
      <w:keepLines/>
      <w:spacing w:line="578" w:lineRule="auto"/>
      <w:jc w:val="left"/>
      <w:outlineLvl w:val="0"/>
    </w:pPr>
    <w:rPr>
      <w:rFonts w:asciiTheme="minorHAnsi" w:hAnsiTheme="minorHAnsi" w:eastAsiaTheme="minorEastAsia" w:cstheme="minorBidi"/>
      <w:b/>
      <w:bCs/>
      <w:kern w:val="44"/>
      <w:sz w:val="28"/>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cstheme="minorBidi"/>
      <w:b/>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cstheme="minorBidi"/>
      <w:b/>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9"/>
    <w:rPr>
      <w:b/>
      <w:bCs/>
      <w:kern w:val="44"/>
      <w:sz w:val="28"/>
      <w:szCs w:val="44"/>
    </w:rPr>
  </w:style>
  <w:style w:type="character" w:customStyle="1" w:styleId="10">
    <w:name w:val="页眉 字符"/>
    <w:basedOn w:val="8"/>
    <w:link w:val="5"/>
    <w:qFormat/>
    <w:uiPriority w:val="99"/>
    <w:rPr>
      <w:rFonts w:eastAsia="宋体"/>
      <w:b/>
      <w:sz w:val="18"/>
      <w:szCs w:val="18"/>
    </w:rPr>
  </w:style>
  <w:style w:type="character" w:customStyle="1" w:styleId="11">
    <w:name w:val="页脚 字符"/>
    <w:basedOn w:val="8"/>
    <w:link w:val="4"/>
    <w:qFormat/>
    <w:uiPriority w:val="99"/>
    <w:rPr>
      <w:rFonts w:eastAsia="宋体"/>
      <w:b/>
      <w:sz w:val="18"/>
      <w:szCs w:val="18"/>
    </w:rPr>
  </w:style>
  <w:style w:type="paragraph" w:styleId="12">
    <w:name w:val="List Paragraph"/>
    <w:basedOn w:val="1"/>
    <w:uiPriority w:val="99"/>
    <w:pPr>
      <w:ind w:firstLine="420" w:firstLineChars="200"/>
    </w:pPr>
  </w:style>
  <w:style w:type="character" w:customStyle="1" w:styleId="13">
    <w:name w:val="批注框文本 字符"/>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1E86D-037C-4115-865D-62070D3B52CC}">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318</Words>
  <Characters>1813</Characters>
  <Lines>15</Lines>
  <Paragraphs>4</Paragraphs>
  <TotalTime>1</TotalTime>
  <ScaleCrop>false</ScaleCrop>
  <LinksUpToDate>false</LinksUpToDate>
  <CharactersWithSpaces>2127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2020-01-08T03:14:00Z</dcterms:created>
  <dc:creator>王盼盼</dc:creator>
  <cp:lastModifiedBy>不忘初心</cp:lastModifiedBy>
  <dcterms:modified xsi:type="dcterms:W3CDTF">2020-08-10T09:47:36Z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